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FF30E" w14:textId="457084BD" w:rsidR="00252F26" w:rsidRPr="00252F26" w:rsidRDefault="00252F26" w:rsidP="00504682"/>
    <w:tbl>
      <w:tblPr>
        <w:tblStyle w:val="TableGrid"/>
        <w:tblW w:w="9423" w:type="dxa"/>
        <w:tblLook w:val="01E0" w:firstRow="1" w:lastRow="1" w:firstColumn="1" w:lastColumn="1" w:noHBand="0" w:noVBand="0"/>
      </w:tblPr>
      <w:tblGrid>
        <w:gridCol w:w="2802"/>
        <w:gridCol w:w="6621"/>
      </w:tblGrid>
      <w:tr w:rsidR="006546D4" w:rsidRPr="00D93213" w14:paraId="65EEB5A0" w14:textId="77777777" w:rsidTr="0096720C">
        <w:trPr>
          <w:trHeight w:val="284"/>
        </w:trPr>
        <w:tc>
          <w:tcPr>
            <w:tcW w:w="2802" w:type="dxa"/>
          </w:tcPr>
          <w:p w14:paraId="7D6F0D69" w14:textId="0722760F" w:rsidR="006546D4" w:rsidRPr="00E545F8" w:rsidRDefault="006546D4" w:rsidP="00770AB9">
            <w:pPr>
              <w:jc w:val="both"/>
              <w:rPr>
                <w:rFonts w:cs="Arial"/>
                <w:b/>
                <w:bCs/>
                <w:lang w:val="en-US"/>
              </w:rPr>
            </w:pPr>
            <w:r w:rsidRPr="00E545F8">
              <w:rPr>
                <w:rFonts w:cs="Arial"/>
                <w:b/>
                <w:bCs/>
                <w:lang w:val="en-US"/>
              </w:rPr>
              <w:t>Policy Title</w:t>
            </w:r>
          </w:p>
        </w:tc>
        <w:tc>
          <w:tcPr>
            <w:tcW w:w="6621" w:type="dxa"/>
          </w:tcPr>
          <w:p w14:paraId="286280AA" w14:textId="5650B9FA" w:rsidR="006546D4" w:rsidRPr="00E545F8" w:rsidRDefault="006546D4" w:rsidP="00770AB9">
            <w:pPr>
              <w:rPr>
                <w:rFonts w:cs="Arial"/>
                <w:bCs/>
                <w:lang w:val="en-US"/>
              </w:rPr>
            </w:pPr>
            <w:r w:rsidRPr="00E545F8">
              <w:rPr>
                <w:rFonts w:cs="Arial"/>
                <w:bCs/>
                <w:lang w:val="en-US"/>
              </w:rPr>
              <w:t xml:space="preserve">Family and Community Services Advisory Board – </w:t>
            </w:r>
            <w:r w:rsidR="00C37A66">
              <w:rPr>
                <w:rFonts w:cs="Arial"/>
                <w:bCs/>
                <w:lang w:val="en-US"/>
              </w:rPr>
              <w:t xml:space="preserve">FCSS </w:t>
            </w:r>
            <w:r w:rsidR="00C50AA7">
              <w:rPr>
                <w:rFonts w:cs="Arial"/>
                <w:bCs/>
                <w:lang w:val="en-US"/>
              </w:rPr>
              <w:t>Financial Planning</w:t>
            </w:r>
            <w:r w:rsidR="00216FAD">
              <w:rPr>
                <w:rFonts w:cs="Arial"/>
                <w:bCs/>
                <w:lang w:val="en-US"/>
              </w:rPr>
              <w:t xml:space="preserve"> </w:t>
            </w:r>
            <w:r w:rsidRPr="00E545F8">
              <w:rPr>
                <w:rFonts w:cs="Arial"/>
                <w:bCs/>
                <w:lang w:val="en-US"/>
              </w:rPr>
              <w:t xml:space="preserve">Policy </w:t>
            </w:r>
          </w:p>
        </w:tc>
      </w:tr>
      <w:tr w:rsidR="006546D4" w:rsidRPr="00D93213" w14:paraId="5504947B" w14:textId="77777777" w:rsidTr="0096720C">
        <w:trPr>
          <w:trHeight w:val="284"/>
        </w:trPr>
        <w:tc>
          <w:tcPr>
            <w:tcW w:w="2802" w:type="dxa"/>
          </w:tcPr>
          <w:p w14:paraId="11BA99FD" w14:textId="1D7E08C0" w:rsidR="006546D4" w:rsidRPr="00E545F8" w:rsidRDefault="006546D4" w:rsidP="00770AB9">
            <w:pPr>
              <w:jc w:val="both"/>
              <w:rPr>
                <w:rFonts w:cs="Arial"/>
                <w:b/>
                <w:bCs/>
                <w:lang w:val="en-US"/>
              </w:rPr>
            </w:pPr>
            <w:r w:rsidRPr="00E545F8">
              <w:rPr>
                <w:rFonts w:cs="Arial"/>
                <w:b/>
                <w:bCs/>
                <w:lang w:val="en-US"/>
              </w:rPr>
              <w:t>Authority</w:t>
            </w:r>
          </w:p>
        </w:tc>
        <w:tc>
          <w:tcPr>
            <w:tcW w:w="6621" w:type="dxa"/>
          </w:tcPr>
          <w:p w14:paraId="3EB230BD" w14:textId="77777777" w:rsidR="006546D4" w:rsidRPr="00E545F8" w:rsidRDefault="006546D4" w:rsidP="00770AB9">
            <w:pPr>
              <w:jc w:val="both"/>
              <w:rPr>
                <w:rFonts w:cs="Arial"/>
                <w:lang w:val="en-US"/>
              </w:rPr>
            </w:pPr>
            <w:r w:rsidRPr="00E545F8">
              <w:rPr>
                <w:rFonts w:cs="Arial"/>
                <w:lang w:val="en-US"/>
              </w:rPr>
              <w:t>FCSS Advisory Board</w:t>
            </w:r>
          </w:p>
        </w:tc>
      </w:tr>
      <w:tr w:rsidR="006546D4" w:rsidRPr="00D93213" w14:paraId="3622C468" w14:textId="77777777" w:rsidTr="0096720C">
        <w:trPr>
          <w:trHeight w:val="284"/>
        </w:trPr>
        <w:tc>
          <w:tcPr>
            <w:tcW w:w="2802" w:type="dxa"/>
          </w:tcPr>
          <w:p w14:paraId="2BC11A03" w14:textId="1C935765" w:rsidR="006546D4" w:rsidRPr="00E545F8" w:rsidRDefault="0096720C" w:rsidP="00770AB9">
            <w:pPr>
              <w:jc w:val="both"/>
              <w:rPr>
                <w:rFonts w:cs="Arial"/>
                <w:b/>
                <w:bCs/>
                <w:lang w:val="en-US"/>
              </w:rPr>
            </w:pPr>
            <w:r>
              <w:rPr>
                <w:rFonts w:cs="Arial"/>
                <w:b/>
                <w:bCs/>
                <w:lang w:val="en-US"/>
              </w:rPr>
              <w:t>Approved (Dates/Motion #)</w:t>
            </w:r>
          </w:p>
        </w:tc>
        <w:tc>
          <w:tcPr>
            <w:tcW w:w="6621" w:type="dxa"/>
          </w:tcPr>
          <w:p w14:paraId="2A0FAB13" w14:textId="45969867" w:rsidR="006546D4" w:rsidRPr="00E545F8" w:rsidRDefault="008D3B89" w:rsidP="00770AB9">
            <w:pPr>
              <w:jc w:val="both"/>
              <w:rPr>
                <w:rFonts w:cs="Arial"/>
                <w:lang w:val="en-US"/>
              </w:rPr>
            </w:pPr>
            <w:r>
              <w:rPr>
                <w:rFonts w:cs="Arial"/>
                <w:lang w:val="en-US"/>
              </w:rPr>
              <w:t>October</w:t>
            </w:r>
            <w:r w:rsidR="00981358">
              <w:rPr>
                <w:rFonts w:cs="Arial"/>
                <w:lang w:val="en-US"/>
              </w:rPr>
              <w:t xml:space="preserve"> </w:t>
            </w:r>
            <w:r>
              <w:rPr>
                <w:rFonts w:cs="Arial"/>
                <w:lang w:val="en-US"/>
              </w:rPr>
              <w:t>4</w:t>
            </w:r>
            <w:r w:rsidR="00981358">
              <w:rPr>
                <w:rFonts w:cs="Arial"/>
                <w:lang w:val="en-US"/>
              </w:rPr>
              <w:t>, 202</w:t>
            </w:r>
            <w:r>
              <w:rPr>
                <w:rFonts w:cs="Arial"/>
                <w:lang w:val="en-US"/>
              </w:rPr>
              <w:t>2</w:t>
            </w:r>
            <w:r w:rsidR="00981358">
              <w:rPr>
                <w:rFonts w:cs="Arial"/>
                <w:lang w:val="en-US"/>
              </w:rPr>
              <w:t xml:space="preserve"> (M# FCSS</w:t>
            </w:r>
            <w:r>
              <w:rPr>
                <w:rFonts w:cs="Arial"/>
                <w:lang w:val="en-US"/>
              </w:rPr>
              <w:t>063</w:t>
            </w:r>
            <w:r w:rsidR="00981358">
              <w:rPr>
                <w:rFonts w:cs="Arial"/>
                <w:lang w:val="en-US"/>
              </w:rPr>
              <w:t>/202</w:t>
            </w:r>
            <w:r>
              <w:rPr>
                <w:rFonts w:cs="Arial"/>
                <w:lang w:val="en-US"/>
              </w:rPr>
              <w:t>2)</w:t>
            </w:r>
          </w:p>
        </w:tc>
      </w:tr>
      <w:tr w:rsidR="006546D4" w:rsidRPr="00D93213" w14:paraId="1542004C" w14:textId="77777777" w:rsidTr="0096720C">
        <w:trPr>
          <w:trHeight w:val="284"/>
        </w:trPr>
        <w:tc>
          <w:tcPr>
            <w:tcW w:w="2802" w:type="dxa"/>
          </w:tcPr>
          <w:p w14:paraId="6ED58EB6" w14:textId="4B556563" w:rsidR="006546D4" w:rsidRPr="00E545F8" w:rsidRDefault="006546D4" w:rsidP="00770AB9">
            <w:pPr>
              <w:jc w:val="both"/>
              <w:rPr>
                <w:rFonts w:cs="Arial"/>
                <w:b/>
                <w:bCs/>
                <w:lang w:val="en-US"/>
              </w:rPr>
            </w:pPr>
            <w:r w:rsidRPr="00E545F8">
              <w:rPr>
                <w:rFonts w:cs="Arial"/>
                <w:b/>
                <w:bCs/>
                <w:lang w:val="en-US"/>
              </w:rPr>
              <w:t>Policy Number</w:t>
            </w:r>
          </w:p>
        </w:tc>
        <w:tc>
          <w:tcPr>
            <w:tcW w:w="6621" w:type="dxa"/>
          </w:tcPr>
          <w:p w14:paraId="11D0E085" w14:textId="4F4C49D6" w:rsidR="006546D4" w:rsidRPr="00E545F8" w:rsidRDefault="006546D4" w:rsidP="00770AB9">
            <w:pPr>
              <w:jc w:val="both"/>
              <w:rPr>
                <w:rFonts w:cs="Arial"/>
                <w:lang w:val="en-US"/>
              </w:rPr>
            </w:pPr>
            <w:r w:rsidRPr="00E545F8">
              <w:rPr>
                <w:rFonts w:cs="Arial"/>
                <w:lang w:val="en-US"/>
              </w:rPr>
              <w:t>P-FCSS00</w:t>
            </w:r>
            <w:r w:rsidR="00F478B6">
              <w:rPr>
                <w:rFonts w:cs="Arial"/>
                <w:lang w:val="en-US"/>
              </w:rPr>
              <w:t>6</w:t>
            </w:r>
          </w:p>
        </w:tc>
      </w:tr>
      <w:tr w:rsidR="00E545F8" w:rsidRPr="00D93213" w14:paraId="0E1B9438" w14:textId="77777777" w:rsidTr="0096720C">
        <w:trPr>
          <w:trHeight w:val="284"/>
        </w:trPr>
        <w:tc>
          <w:tcPr>
            <w:tcW w:w="2802" w:type="dxa"/>
          </w:tcPr>
          <w:p w14:paraId="6BBBFEC0" w14:textId="485E7B5D" w:rsidR="00E545F8" w:rsidRPr="00E545F8" w:rsidRDefault="00E545F8" w:rsidP="00770AB9">
            <w:pPr>
              <w:jc w:val="both"/>
              <w:rPr>
                <w:rFonts w:cs="Arial"/>
                <w:b/>
                <w:bCs/>
                <w:lang w:val="en-US"/>
              </w:rPr>
            </w:pPr>
            <w:r>
              <w:rPr>
                <w:rFonts w:cs="Arial"/>
                <w:b/>
                <w:bCs/>
                <w:lang w:val="en-US"/>
              </w:rPr>
              <w:t>Review</w:t>
            </w:r>
          </w:p>
        </w:tc>
        <w:tc>
          <w:tcPr>
            <w:tcW w:w="6621" w:type="dxa"/>
          </w:tcPr>
          <w:p w14:paraId="26290117" w14:textId="5EEF5986" w:rsidR="00E545F8" w:rsidRPr="00E545F8" w:rsidRDefault="00F70374" w:rsidP="00770AB9">
            <w:pPr>
              <w:jc w:val="both"/>
              <w:rPr>
                <w:rFonts w:cs="Arial"/>
                <w:lang w:val="en-US"/>
              </w:rPr>
            </w:pPr>
            <w:r>
              <w:rPr>
                <w:rFonts w:cs="Arial"/>
                <w:lang w:val="en-US"/>
              </w:rPr>
              <w:t xml:space="preserve">To be reviewed annually </w:t>
            </w:r>
            <w:r w:rsidR="00A80E05">
              <w:rPr>
                <w:rFonts w:cs="Arial"/>
                <w:lang w:val="en-US"/>
              </w:rPr>
              <w:t>by September 30</w:t>
            </w:r>
          </w:p>
        </w:tc>
      </w:tr>
      <w:tr w:rsidR="005C3FC6" w:rsidRPr="00D93213" w14:paraId="6F8F0711" w14:textId="77777777" w:rsidTr="0096720C">
        <w:trPr>
          <w:trHeight w:val="284"/>
        </w:trPr>
        <w:tc>
          <w:tcPr>
            <w:tcW w:w="2802" w:type="dxa"/>
          </w:tcPr>
          <w:p w14:paraId="1497330C" w14:textId="16D38BCF" w:rsidR="005C3FC6" w:rsidRDefault="005C3FC6" w:rsidP="00770AB9">
            <w:pPr>
              <w:jc w:val="both"/>
              <w:rPr>
                <w:rFonts w:cs="Arial"/>
                <w:b/>
                <w:bCs/>
                <w:lang w:val="en-US"/>
              </w:rPr>
            </w:pPr>
            <w:r>
              <w:rPr>
                <w:rFonts w:cs="Arial"/>
                <w:b/>
                <w:bCs/>
                <w:lang w:val="en-US"/>
              </w:rPr>
              <w:t xml:space="preserve">Reviewed by </w:t>
            </w:r>
          </w:p>
        </w:tc>
        <w:tc>
          <w:tcPr>
            <w:tcW w:w="6621" w:type="dxa"/>
          </w:tcPr>
          <w:p w14:paraId="078E0CD5" w14:textId="256D06BE" w:rsidR="005C3FC6" w:rsidRDefault="00291636" w:rsidP="00770AB9">
            <w:pPr>
              <w:jc w:val="both"/>
              <w:rPr>
                <w:rFonts w:cs="Arial"/>
                <w:lang w:val="en-US"/>
              </w:rPr>
            </w:pPr>
            <w:r>
              <w:rPr>
                <w:rFonts w:cs="Arial"/>
                <w:lang w:val="en-US"/>
              </w:rPr>
              <w:t xml:space="preserve">Advisory Board – </w:t>
            </w:r>
            <w:r w:rsidR="008D3B89">
              <w:rPr>
                <w:rFonts w:cs="Arial"/>
                <w:lang w:val="en-US"/>
              </w:rPr>
              <w:t>October 4, 2022</w:t>
            </w:r>
          </w:p>
        </w:tc>
      </w:tr>
    </w:tbl>
    <w:p w14:paraId="3435FEBA" w14:textId="71C39182" w:rsidR="006546D4" w:rsidRDefault="006546D4" w:rsidP="006546D4">
      <w:pPr>
        <w:pStyle w:val="Heading1"/>
      </w:pPr>
      <w:r>
        <w:t xml:space="preserve">Policy Statement </w:t>
      </w:r>
      <w:r w:rsidR="00801EC0">
        <w:t xml:space="preserve"> </w:t>
      </w:r>
    </w:p>
    <w:p w14:paraId="76B214DF" w14:textId="24BC5872" w:rsidR="00801EC0" w:rsidRPr="00801EC0" w:rsidRDefault="00801EC0" w:rsidP="00801EC0">
      <w:r>
        <w:t xml:space="preserve">The FCSS Advisory Board </w:t>
      </w:r>
      <w:r w:rsidR="0090373B">
        <w:t>is responsible to develop and maintain an operating budget to ensure</w:t>
      </w:r>
      <w:r>
        <w:t xml:space="preserve"> Financial and Reporting obligations are met as per funding agreements with the provincial and municipal government. </w:t>
      </w:r>
    </w:p>
    <w:p w14:paraId="234CC01C" w14:textId="08481574" w:rsidR="00E545F8" w:rsidRDefault="00E545F8" w:rsidP="00E545F8">
      <w:pPr>
        <w:pStyle w:val="Heading1"/>
      </w:pPr>
      <w:r>
        <w:t xml:space="preserve">Definitions </w:t>
      </w:r>
    </w:p>
    <w:p w14:paraId="24D220E4" w14:textId="77777777" w:rsidR="00F70374" w:rsidRPr="00E545F8" w:rsidRDefault="00F70374" w:rsidP="00F70374">
      <w:r w:rsidRPr="00E545F8">
        <w:rPr>
          <w:b/>
          <w:bCs/>
        </w:rPr>
        <w:t>Chief Administrative Officer (CAO)</w:t>
      </w:r>
      <w:r w:rsidRPr="00E545F8">
        <w:t xml:space="preserve"> – means the administrative head of the municipality. </w:t>
      </w:r>
    </w:p>
    <w:p w14:paraId="2FD10FF8" w14:textId="18C05D45" w:rsidR="00E545F8" w:rsidRPr="00E545F8" w:rsidRDefault="00E545F8" w:rsidP="00E545F8">
      <w:r w:rsidRPr="00E545F8">
        <w:rPr>
          <w:b/>
          <w:bCs/>
        </w:rPr>
        <w:t xml:space="preserve">Director </w:t>
      </w:r>
      <w:r w:rsidRPr="00E545F8">
        <w:t>– means the FCSS Director</w:t>
      </w:r>
      <w:r w:rsidR="00CC30EE">
        <w:t>,</w:t>
      </w:r>
      <w:r w:rsidRPr="00E545F8">
        <w:t xml:space="preserve"> an employee of the Town</w:t>
      </w:r>
      <w:r w:rsidR="00CC30EE">
        <w:t>,</w:t>
      </w:r>
      <w:r w:rsidRPr="00E545F8">
        <w:t xml:space="preserve"> that is dedicated to the FCSS Advisory Board managing social programming.</w:t>
      </w:r>
    </w:p>
    <w:p w14:paraId="40AEDDE4" w14:textId="0C4A8F3B" w:rsidR="00E545F8" w:rsidRDefault="00E545F8" w:rsidP="00E545F8">
      <w:r w:rsidRPr="00E545F8">
        <w:rPr>
          <w:b/>
          <w:bCs/>
        </w:rPr>
        <w:t>FCSS Advisory Board</w:t>
      </w:r>
      <w:r w:rsidRPr="00E545F8">
        <w:t xml:space="preserve"> – a volunteer advisory board of directors appointed by Council with the responsibility of leading and managing social programming in the Town. </w:t>
      </w:r>
    </w:p>
    <w:p w14:paraId="236572BF" w14:textId="220CBD61" w:rsidR="001C36B7" w:rsidRPr="001C36B7" w:rsidRDefault="001C36B7" w:rsidP="00E545F8">
      <w:r>
        <w:rPr>
          <w:b/>
          <w:bCs/>
        </w:rPr>
        <w:t xml:space="preserve">Members </w:t>
      </w:r>
      <w:r>
        <w:t xml:space="preserve">– volunteers appointed to the FCSS Advisory Board. </w:t>
      </w:r>
    </w:p>
    <w:p w14:paraId="42C997AC" w14:textId="5581624E" w:rsidR="00E545F8" w:rsidRPr="00E545F8" w:rsidRDefault="00E545F8" w:rsidP="00E545F8">
      <w:r w:rsidRPr="00E545F8">
        <w:rPr>
          <w:b/>
          <w:bCs/>
        </w:rPr>
        <w:t>Town</w:t>
      </w:r>
      <w:r w:rsidRPr="00E545F8">
        <w:t xml:space="preserve"> – means the incorporated municipally of Bassano.  </w:t>
      </w:r>
    </w:p>
    <w:p w14:paraId="672810BD" w14:textId="77777777" w:rsidR="005C3FC6" w:rsidRDefault="005C3FC6" w:rsidP="005C3FC6">
      <w:pPr>
        <w:pStyle w:val="Heading1"/>
      </w:pPr>
      <w:r>
        <w:t xml:space="preserve">Responsibility </w:t>
      </w:r>
    </w:p>
    <w:p w14:paraId="2357EA97" w14:textId="449A9862" w:rsidR="005C3FC6" w:rsidRDefault="005C3FC6" w:rsidP="005C3FC6">
      <w:r>
        <w:t>It is the responsibility of the</w:t>
      </w:r>
      <w:r w:rsidR="00CA3A68">
        <w:t xml:space="preserve"> FCSS Advisory Board and the</w:t>
      </w:r>
      <w:r>
        <w:t xml:space="preserve"> Director to ensure this policy is implemented. </w:t>
      </w:r>
    </w:p>
    <w:p w14:paraId="3DD0CDDA" w14:textId="0BC36143" w:rsidR="00252F26" w:rsidRDefault="00CA3A68" w:rsidP="00535586">
      <w:pPr>
        <w:pStyle w:val="Heading1"/>
      </w:pPr>
      <w:r>
        <w:t>Process</w:t>
      </w:r>
      <w:r w:rsidR="001C36B7">
        <w:t xml:space="preserve"> </w:t>
      </w:r>
    </w:p>
    <w:p w14:paraId="2D233F4F" w14:textId="33203092" w:rsidR="00F70374" w:rsidRDefault="0025669B" w:rsidP="00F70374">
      <w:pPr>
        <w:pStyle w:val="ListParagraph"/>
        <w:numPr>
          <w:ilvl w:val="0"/>
          <w:numId w:val="20"/>
        </w:numPr>
      </w:pPr>
      <w:r>
        <w:t xml:space="preserve">Based on input from the FCSS Advisory Board the FCSS Director, with the support of the CAO, will prepare an annual operating budget outlining FCSS programs and expenses for the upcoming year by </w:t>
      </w:r>
      <w:r w:rsidR="00DF38C9">
        <w:t>November</w:t>
      </w:r>
      <w:r w:rsidR="00F70374">
        <w:t xml:space="preserve"> 1</w:t>
      </w:r>
      <w:r>
        <w:t xml:space="preserve"> of each year. </w:t>
      </w:r>
    </w:p>
    <w:p w14:paraId="0C403028" w14:textId="40491424" w:rsidR="00F70374" w:rsidRDefault="00F70374" w:rsidP="00F70374">
      <w:pPr>
        <w:pStyle w:val="ListParagraph"/>
        <w:numPr>
          <w:ilvl w:val="0"/>
          <w:numId w:val="20"/>
        </w:numPr>
      </w:pPr>
      <w:r>
        <w:t>The annual operating budget and programming presented will be aligned with the</w:t>
      </w:r>
      <w:hyperlink r:id="rId7" w:history="1">
        <w:r w:rsidRPr="0025669B">
          <w:rPr>
            <w:rStyle w:val="Hyperlink"/>
          </w:rPr>
          <w:t xml:space="preserve"> FCSS program Handbook</w:t>
        </w:r>
      </w:hyperlink>
      <w:r>
        <w:t xml:space="preserve"> and will follow FCSS reporting guidelines based on the </w:t>
      </w:r>
      <w:hyperlink r:id="rId8" w:history="1">
        <w:r w:rsidRPr="0025669B">
          <w:rPr>
            <w:rStyle w:val="Hyperlink"/>
          </w:rPr>
          <w:t>FCSS Measures Bank</w:t>
        </w:r>
      </w:hyperlink>
      <w:r w:rsidR="00C328D6">
        <w:t xml:space="preserve"> which</w:t>
      </w:r>
      <w:r>
        <w:t xml:space="preserve"> will allow for ease of reporting each year. FCSS annual reporting will be the responsibility of the FCSS Director and is to be completed by June 30</w:t>
      </w:r>
      <w:r w:rsidRPr="00F70374">
        <w:rPr>
          <w:vertAlign w:val="superscript"/>
        </w:rPr>
        <w:t>th</w:t>
      </w:r>
      <w:r>
        <w:t xml:space="preserve"> annually. </w:t>
      </w:r>
    </w:p>
    <w:p w14:paraId="5ADFED6C" w14:textId="1D4E0E1E" w:rsidR="00F70374" w:rsidRDefault="00F70374" w:rsidP="00F70374">
      <w:pPr>
        <w:pStyle w:val="ListParagraph"/>
        <w:numPr>
          <w:ilvl w:val="0"/>
          <w:numId w:val="20"/>
        </w:numPr>
      </w:pPr>
      <w:r>
        <w:t xml:space="preserve">The proposed budget </w:t>
      </w:r>
      <w:r w:rsidR="0025669B">
        <w:t xml:space="preserve">will be presented to the FCSS Advisory Board </w:t>
      </w:r>
      <w:r>
        <w:t>each year at</w:t>
      </w:r>
      <w:r w:rsidR="0025669B">
        <w:t xml:space="preserve"> the October </w:t>
      </w:r>
      <w:r>
        <w:t xml:space="preserve">FCSS Advisory </w:t>
      </w:r>
      <w:r w:rsidR="0025669B">
        <w:t>Board Meeting for approval</w:t>
      </w:r>
      <w:r>
        <w:t>. The board approved budget must be provided as a re</w:t>
      </w:r>
      <w:r w:rsidR="0025669B">
        <w:t>commendation to</w:t>
      </w:r>
      <w:r>
        <w:t xml:space="preserve"> </w:t>
      </w:r>
      <w:r w:rsidR="0025669B">
        <w:t xml:space="preserve">Town Council for final </w:t>
      </w:r>
      <w:r>
        <w:t xml:space="preserve">ratification. </w:t>
      </w:r>
    </w:p>
    <w:p w14:paraId="56805B08" w14:textId="4973EC77" w:rsidR="00F70374" w:rsidRDefault="00F70374" w:rsidP="00F70374">
      <w:pPr>
        <w:pStyle w:val="ListParagraph"/>
        <w:numPr>
          <w:ilvl w:val="0"/>
          <w:numId w:val="20"/>
        </w:numPr>
      </w:pPr>
      <w:r>
        <w:lastRenderedPageBreak/>
        <w:t>A two-year projection budget shall acc</w:t>
      </w:r>
      <w:r w:rsidR="00C328D6">
        <w:t>ompany</w:t>
      </w:r>
      <w:r>
        <w:t xml:space="preserve"> the proposed annual operating budget in accordance with the </w:t>
      </w:r>
      <w:r>
        <w:rPr>
          <w:i/>
          <w:iCs/>
        </w:rPr>
        <w:t>Municipal Government Act.</w:t>
      </w:r>
    </w:p>
    <w:p w14:paraId="54B79552" w14:textId="77777777" w:rsidR="00F70374" w:rsidRDefault="00F70374" w:rsidP="00F70374">
      <w:pPr>
        <w:pStyle w:val="ListParagraph"/>
        <w:numPr>
          <w:ilvl w:val="0"/>
          <w:numId w:val="20"/>
        </w:numPr>
      </w:pPr>
      <w:r>
        <w:t xml:space="preserve">The FCSS Advisory Board shall not budget for a deficit. </w:t>
      </w:r>
    </w:p>
    <w:p w14:paraId="16050F6D" w14:textId="77777777" w:rsidR="00F70374" w:rsidRDefault="00F70374" w:rsidP="00F70374">
      <w:pPr>
        <w:pStyle w:val="ListParagraph"/>
        <w:numPr>
          <w:ilvl w:val="0"/>
          <w:numId w:val="20"/>
        </w:numPr>
      </w:pPr>
      <w:r>
        <w:t xml:space="preserve">The FCSS Advisory Board shall offer programs and services within the approved budget to meet the needs of the community in accordance with its mandate and funding obligations. </w:t>
      </w:r>
    </w:p>
    <w:p w14:paraId="10649C02" w14:textId="567859D8" w:rsidR="00F70374" w:rsidRDefault="00F70374" w:rsidP="00F70374">
      <w:pPr>
        <w:pStyle w:val="ListParagraph"/>
        <w:numPr>
          <w:ilvl w:val="0"/>
          <w:numId w:val="20"/>
        </w:numPr>
      </w:pPr>
      <w:r>
        <w:t>The Director is responsible to inform the FCSS Advisory Board of an</w:t>
      </w:r>
      <w:r w:rsidR="00C328D6">
        <w:t>y</w:t>
      </w:r>
      <w:r>
        <w:t xml:space="preserve"> program or funding limitations. </w:t>
      </w:r>
    </w:p>
    <w:p w14:paraId="7F5FDD9C" w14:textId="77777777" w:rsidR="00F70374" w:rsidRDefault="00F70374" w:rsidP="00F70374">
      <w:pPr>
        <w:pStyle w:val="ListParagraph"/>
        <w:numPr>
          <w:ilvl w:val="0"/>
          <w:numId w:val="20"/>
        </w:numPr>
      </w:pPr>
      <w:r>
        <w:t xml:space="preserve">The Director is responsible to provide a financial update at each FCSS Advisory Board meeting. </w:t>
      </w:r>
    </w:p>
    <w:p w14:paraId="2732D22B" w14:textId="1A9D00C8" w:rsidR="00CA3A68" w:rsidRDefault="00F70374" w:rsidP="00F70374">
      <w:pPr>
        <w:pStyle w:val="ListParagraph"/>
        <w:numPr>
          <w:ilvl w:val="0"/>
          <w:numId w:val="20"/>
        </w:numPr>
      </w:pPr>
      <w:r>
        <w:t>The Director is responsible to support the FCSS Advisory Board in appl</w:t>
      </w:r>
      <w:r w:rsidR="00C328D6">
        <w:t>ying</w:t>
      </w:r>
      <w:r>
        <w:t xml:space="preserve"> for grants to ensure the continuation of programs and services in Bassano. </w:t>
      </w:r>
      <w:r w:rsidR="0025669B">
        <w:t xml:space="preserve"> </w:t>
      </w:r>
    </w:p>
    <w:p w14:paraId="6126F4C9" w14:textId="3EFB5849" w:rsidR="00622753" w:rsidRDefault="00622753" w:rsidP="008D3B89">
      <w:pPr>
        <w:pStyle w:val="Heading1"/>
      </w:pPr>
      <w:r>
        <w:t xml:space="preserve">Policy Reference </w:t>
      </w:r>
    </w:p>
    <w:p w14:paraId="4B76C7FA" w14:textId="330F3F8F" w:rsidR="00622753" w:rsidRDefault="00622753" w:rsidP="00622753">
      <w:pPr>
        <w:pStyle w:val="ListParagraph"/>
        <w:numPr>
          <w:ilvl w:val="0"/>
          <w:numId w:val="19"/>
        </w:numPr>
      </w:pPr>
      <w:bookmarkStart w:id="0" w:name="_Hlk62737003"/>
      <w:r>
        <w:t>P-FCSS00</w:t>
      </w:r>
      <w:r w:rsidR="00F478B6">
        <w:t>7</w:t>
      </w:r>
      <w:r>
        <w:t xml:space="preserve"> Programming Policy </w:t>
      </w:r>
    </w:p>
    <w:p w14:paraId="4B6165F6" w14:textId="63D5B962" w:rsidR="00730F1E" w:rsidRPr="00622753" w:rsidRDefault="00730F1E" w:rsidP="00622753">
      <w:pPr>
        <w:pStyle w:val="ListParagraph"/>
        <w:numPr>
          <w:ilvl w:val="0"/>
          <w:numId w:val="19"/>
        </w:numPr>
      </w:pPr>
      <w:r>
        <w:t>P-FCSS00</w:t>
      </w:r>
      <w:r w:rsidR="00F478B6">
        <w:t>8</w:t>
      </w:r>
      <w:r>
        <w:t xml:space="preserve"> Funding Application Policy </w:t>
      </w:r>
    </w:p>
    <w:bookmarkEnd w:id="0"/>
    <w:p w14:paraId="2C58BDE5" w14:textId="77777777" w:rsidR="00622753" w:rsidRPr="00CA3A68" w:rsidRDefault="00622753" w:rsidP="00CA3A68"/>
    <w:p w14:paraId="3705B7C7" w14:textId="71680DA7" w:rsidR="00622753" w:rsidRPr="00252F26" w:rsidRDefault="005C3FC6" w:rsidP="00622753">
      <w:pPr>
        <w:jc w:val="center"/>
      </w:pPr>
      <w:r>
        <w:t>END OF POLICY</w:t>
      </w:r>
    </w:p>
    <w:sectPr w:rsidR="00622753" w:rsidRPr="00252F26">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425B9" w14:textId="77777777" w:rsidR="00384B10" w:rsidRDefault="00384B10" w:rsidP="006740F9">
      <w:pPr>
        <w:spacing w:after="0" w:line="240" w:lineRule="auto"/>
      </w:pPr>
      <w:r>
        <w:separator/>
      </w:r>
    </w:p>
  </w:endnote>
  <w:endnote w:type="continuationSeparator" w:id="0">
    <w:p w14:paraId="76DEC867" w14:textId="77777777" w:rsidR="00384B10" w:rsidRDefault="00384B10" w:rsidP="00674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961935"/>
      <w:docPartObj>
        <w:docPartGallery w:val="Page Numbers (Bottom of Page)"/>
        <w:docPartUnique/>
      </w:docPartObj>
    </w:sdtPr>
    <w:sdtEndPr/>
    <w:sdtContent>
      <w:sdt>
        <w:sdtPr>
          <w:id w:val="1728636285"/>
          <w:docPartObj>
            <w:docPartGallery w:val="Page Numbers (Top of Page)"/>
            <w:docPartUnique/>
          </w:docPartObj>
        </w:sdtPr>
        <w:sdtEndPr/>
        <w:sdtContent>
          <w:p w14:paraId="7162310E" w14:textId="3E872E1D" w:rsidR="005331D4" w:rsidRDefault="005331D4">
            <w:pPr>
              <w:pStyle w:val="Footer"/>
              <w:jc w:val="center"/>
            </w:pPr>
            <w:r w:rsidRPr="0037166A">
              <w:rPr>
                <w:rFonts w:cstheme="minorHAnsi"/>
                <w:sz w:val="18"/>
                <w:szCs w:val="18"/>
              </w:rPr>
              <w:t xml:space="preserve">Page </w:t>
            </w:r>
            <w:r w:rsidRPr="0037166A">
              <w:rPr>
                <w:rFonts w:cstheme="minorHAnsi"/>
                <w:sz w:val="20"/>
                <w:szCs w:val="20"/>
              </w:rPr>
              <w:fldChar w:fldCharType="begin"/>
            </w:r>
            <w:r w:rsidRPr="0037166A">
              <w:rPr>
                <w:rFonts w:cstheme="minorHAnsi"/>
                <w:sz w:val="18"/>
                <w:szCs w:val="18"/>
              </w:rPr>
              <w:instrText xml:space="preserve"> PAGE </w:instrText>
            </w:r>
            <w:r w:rsidRPr="0037166A">
              <w:rPr>
                <w:rFonts w:cstheme="minorHAnsi"/>
                <w:sz w:val="20"/>
                <w:szCs w:val="20"/>
              </w:rPr>
              <w:fldChar w:fldCharType="separate"/>
            </w:r>
            <w:r w:rsidR="00252F26">
              <w:rPr>
                <w:rFonts w:cstheme="minorHAnsi"/>
                <w:noProof/>
                <w:sz w:val="18"/>
                <w:szCs w:val="18"/>
              </w:rPr>
              <w:t>1</w:t>
            </w:r>
            <w:r w:rsidRPr="0037166A">
              <w:rPr>
                <w:rFonts w:cstheme="minorHAnsi"/>
                <w:sz w:val="20"/>
                <w:szCs w:val="20"/>
              </w:rPr>
              <w:fldChar w:fldCharType="end"/>
            </w:r>
            <w:r w:rsidRPr="0037166A">
              <w:rPr>
                <w:rFonts w:cstheme="minorHAnsi"/>
                <w:sz w:val="18"/>
                <w:szCs w:val="18"/>
              </w:rPr>
              <w:t xml:space="preserve"> of </w:t>
            </w:r>
            <w:r w:rsidRPr="0037166A">
              <w:rPr>
                <w:rFonts w:cstheme="minorHAnsi"/>
                <w:sz w:val="20"/>
                <w:szCs w:val="20"/>
              </w:rPr>
              <w:fldChar w:fldCharType="begin"/>
            </w:r>
            <w:r w:rsidRPr="0037166A">
              <w:rPr>
                <w:rFonts w:cstheme="minorHAnsi"/>
                <w:sz w:val="18"/>
                <w:szCs w:val="18"/>
              </w:rPr>
              <w:instrText xml:space="preserve"> NUMPAGES  </w:instrText>
            </w:r>
            <w:r w:rsidRPr="0037166A">
              <w:rPr>
                <w:rFonts w:cstheme="minorHAnsi"/>
                <w:sz w:val="20"/>
                <w:szCs w:val="20"/>
              </w:rPr>
              <w:fldChar w:fldCharType="separate"/>
            </w:r>
            <w:r w:rsidR="00252F26">
              <w:rPr>
                <w:rFonts w:cstheme="minorHAnsi"/>
                <w:noProof/>
                <w:sz w:val="18"/>
                <w:szCs w:val="18"/>
              </w:rPr>
              <w:t>1</w:t>
            </w:r>
            <w:r w:rsidRPr="0037166A">
              <w:rPr>
                <w:rFonts w:cstheme="minorHAnsi"/>
                <w:sz w:val="20"/>
                <w:szCs w:val="20"/>
              </w:rPr>
              <w:fldChar w:fldCharType="end"/>
            </w:r>
          </w:p>
        </w:sdtContent>
      </w:sdt>
    </w:sdtContent>
  </w:sdt>
  <w:p w14:paraId="434A25CE" w14:textId="77777777" w:rsidR="005331D4" w:rsidRDefault="0053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B012A" w14:textId="77777777" w:rsidR="00384B10" w:rsidRDefault="00384B10" w:rsidP="006740F9">
      <w:pPr>
        <w:spacing w:after="0" w:line="240" w:lineRule="auto"/>
      </w:pPr>
      <w:r>
        <w:separator/>
      </w:r>
    </w:p>
  </w:footnote>
  <w:footnote w:type="continuationSeparator" w:id="0">
    <w:p w14:paraId="76E76751" w14:textId="77777777" w:rsidR="00384B10" w:rsidRDefault="00384B10" w:rsidP="00674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B8E6" w14:textId="5819CFCD" w:rsidR="006546D4" w:rsidRDefault="00291636">
    <w:pPr>
      <w:pStyle w:val="Header"/>
    </w:pPr>
    <w:r>
      <w:rPr>
        <w:noProof/>
      </w:rPr>
      <mc:AlternateContent>
        <mc:Choice Requires="wps">
          <w:drawing>
            <wp:anchor distT="0" distB="0" distL="114300" distR="114300" simplePos="0" relativeHeight="251657216" behindDoc="0" locked="0" layoutInCell="1" allowOverlap="1" wp14:anchorId="7145D292" wp14:editId="45BF9E5A">
              <wp:simplePos x="0" y="0"/>
              <wp:positionH relativeFrom="column">
                <wp:posOffset>4278573</wp:posOffset>
              </wp:positionH>
              <wp:positionV relativeFrom="paragraph">
                <wp:posOffset>-169801</wp:posOffset>
              </wp:positionV>
              <wp:extent cx="1890215" cy="429905"/>
              <wp:effectExtent l="0" t="0" r="0" b="8255"/>
              <wp:wrapNone/>
              <wp:docPr id="2" name="Text Box 2"/>
              <wp:cNvGraphicFramePr/>
              <a:graphic xmlns:a="http://schemas.openxmlformats.org/drawingml/2006/main">
                <a:graphicData uri="http://schemas.microsoft.com/office/word/2010/wordprocessingShape">
                  <wps:wsp>
                    <wps:cNvSpPr txBox="1"/>
                    <wps:spPr>
                      <a:xfrm>
                        <a:off x="0" y="0"/>
                        <a:ext cx="1890215" cy="429905"/>
                      </a:xfrm>
                      <a:prstGeom prst="rect">
                        <a:avLst/>
                      </a:prstGeom>
                      <a:solidFill>
                        <a:schemeClr val="lt1"/>
                      </a:solidFill>
                      <a:ln w="6350">
                        <a:noFill/>
                      </a:ln>
                    </wps:spPr>
                    <wps:txbx>
                      <w:txbxContent>
                        <w:p w14:paraId="0228E738" w14:textId="2A4F2807" w:rsidR="00291636" w:rsidRDefault="00291636" w:rsidP="00291636">
                          <w:pPr>
                            <w:jc w:val="right"/>
                          </w:pPr>
                          <w:r>
                            <w:t>P-FCSS006</w:t>
                          </w:r>
                          <w:r>
                            <w:br/>
                            <w:t>202</w:t>
                          </w:r>
                          <w:r w:rsidR="008D3B89">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45D292" id="_x0000_t202" coordsize="21600,21600" o:spt="202" path="m,l,21600r21600,l21600,xe">
              <v:stroke joinstyle="miter"/>
              <v:path gradientshapeok="t" o:connecttype="rect"/>
            </v:shapetype>
            <v:shape id="Text Box 2" o:spid="_x0000_s1026" type="#_x0000_t202" style="position:absolute;margin-left:336.9pt;margin-top:-13.35pt;width:148.85pt;height:33.8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" fillcolor="white [3201]" stroked="f" strokeweight=".5pt">
              <v:textbox>
                <w:txbxContent>
                  <w:p w14:paraId="0228E738" w14:textId="2A4F2807" w:rsidR="00291636" w:rsidRDefault="00291636" w:rsidP="00291636">
                    <w:pPr>
                      <w:jc w:val="right"/>
                    </w:pPr>
                    <w:r>
                      <w:t>P-FCSS006</w:t>
                    </w:r>
                    <w:r>
                      <w:br/>
                      <w:t>202</w:t>
                    </w:r>
                    <w:r w:rsidR="008D3B89">
                      <w:t>2</w:t>
                    </w:r>
                  </w:p>
                </w:txbxContent>
              </v:textbox>
            </v:shape>
          </w:pict>
        </mc:Fallback>
      </mc:AlternateContent>
    </w:r>
    <w:sdt>
      <w:sdtPr>
        <w:id w:val="635772226"/>
        <w:docPartObj>
          <w:docPartGallery w:val="Watermarks"/>
          <w:docPartUnique/>
        </w:docPartObj>
      </w:sdtPr>
      <w:sdtEndPr/>
      <w:sdtContent>
        <w:r w:rsidR="008D3B89">
          <w:rPr>
            <w:noProof/>
          </w:rPr>
          <w:pict w14:anchorId="5DCCFF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99267" o:spid="_x0000_s2049" type="#_x0000_t136" style="position:absolute;margin-left:0;margin-top:0;width:479.85pt;height:179.95pt;rotation:315;z-index:-251658240;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sdtContent>
    </w:sdt>
    <w:r w:rsidR="006546D4">
      <w:rPr>
        <w:noProof/>
      </w:rPr>
      <w:drawing>
        <wp:inline distT="0" distB="0" distL="0" distR="0" wp14:anchorId="0D03C214" wp14:editId="1081EFD1">
          <wp:extent cx="1352739" cy="914528"/>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2739" cy="9145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B58"/>
    <w:multiLevelType w:val="hybridMultilevel"/>
    <w:tmpl w:val="C2B4E3F8"/>
    <w:lvl w:ilvl="0" w:tplc="2B2242F4">
      <w:start w:val="1"/>
      <w:numFmt w:val="decimal"/>
      <w:lvlText w:val="%1."/>
      <w:lvlJc w:val="left"/>
      <w:pPr>
        <w:ind w:left="720" w:hanging="360"/>
      </w:pPr>
      <w:rPr>
        <w:rFonts w:asciiTheme="minorHAnsi" w:eastAsiaTheme="minorHAnsi" w:hAnsiTheme="minorHAnsi" w:cstheme="minorBidi"/>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817B66"/>
    <w:multiLevelType w:val="hybridMultilevel"/>
    <w:tmpl w:val="968E66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D34624"/>
    <w:multiLevelType w:val="hybridMultilevel"/>
    <w:tmpl w:val="40184C6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3F70EB"/>
    <w:multiLevelType w:val="hybridMultilevel"/>
    <w:tmpl w:val="999EE7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723326"/>
    <w:multiLevelType w:val="hybridMultilevel"/>
    <w:tmpl w:val="783CFDD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A623123"/>
    <w:multiLevelType w:val="multilevel"/>
    <w:tmpl w:val="7BE21B5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7950D64"/>
    <w:multiLevelType w:val="hybridMultilevel"/>
    <w:tmpl w:val="072CA6A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18A1F3D"/>
    <w:multiLevelType w:val="hybridMultilevel"/>
    <w:tmpl w:val="444EBD7E"/>
    <w:lvl w:ilvl="0" w:tplc="192ACA9C">
      <w:start w:val="1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1910670"/>
    <w:multiLevelType w:val="hybridMultilevel"/>
    <w:tmpl w:val="52CAA4AA"/>
    <w:lvl w:ilvl="0" w:tplc="87AC6724">
      <w:start w:val="1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1F51338"/>
    <w:multiLevelType w:val="hybridMultilevel"/>
    <w:tmpl w:val="0E6E11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0977089"/>
    <w:multiLevelType w:val="hybridMultilevel"/>
    <w:tmpl w:val="0D329D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2ED12A8"/>
    <w:multiLevelType w:val="hybridMultilevel"/>
    <w:tmpl w:val="0EE01A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155B59"/>
    <w:multiLevelType w:val="hybridMultilevel"/>
    <w:tmpl w:val="72EC5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5FD1A99"/>
    <w:multiLevelType w:val="hybridMultilevel"/>
    <w:tmpl w:val="B37AED86"/>
    <w:lvl w:ilvl="0" w:tplc="CF406BC4">
      <w:start w:val="1"/>
      <w:numFmt w:val="decimal"/>
      <w:lvlText w:val="%1."/>
      <w:lvlJc w:val="left"/>
      <w:pPr>
        <w:ind w:left="720" w:hanging="360"/>
      </w:pPr>
      <w:rPr>
        <w:rFonts w:ascii="Calibri" w:hAnsi="Calibri" w:cs="Times New Roman"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C771331"/>
    <w:multiLevelType w:val="hybridMultilevel"/>
    <w:tmpl w:val="07188D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D2B112C"/>
    <w:multiLevelType w:val="hybridMultilevel"/>
    <w:tmpl w:val="A1D850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A0A5F0A"/>
    <w:multiLevelType w:val="hybridMultilevel"/>
    <w:tmpl w:val="A078CC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1E36E26"/>
    <w:multiLevelType w:val="hybridMultilevel"/>
    <w:tmpl w:val="A7E2F5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34B4D1A"/>
    <w:multiLevelType w:val="hybridMultilevel"/>
    <w:tmpl w:val="BEE009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B7B647C"/>
    <w:multiLevelType w:val="hybridMultilevel"/>
    <w:tmpl w:val="85940FD8"/>
    <w:lvl w:ilvl="0" w:tplc="2A58CDAA">
      <w:start w:val="1"/>
      <w:numFmt w:val="decimal"/>
      <w:lvlText w:val="%1."/>
      <w:lvlJc w:val="left"/>
      <w:pPr>
        <w:ind w:left="720" w:hanging="360"/>
      </w:pPr>
      <w:rPr>
        <w:rFonts w:asciiTheme="minorHAnsi" w:eastAsiaTheme="minorHAnsi" w:hAnsiTheme="minorHAnsi" w:cstheme="minorBid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08531067">
    <w:abstractNumId w:val="11"/>
  </w:num>
  <w:num w:numId="2" w16cid:durableId="1235166354">
    <w:abstractNumId w:val="4"/>
  </w:num>
  <w:num w:numId="3" w16cid:durableId="983970763">
    <w:abstractNumId w:val="0"/>
  </w:num>
  <w:num w:numId="4" w16cid:durableId="79763568">
    <w:abstractNumId w:val="18"/>
  </w:num>
  <w:num w:numId="5" w16cid:durableId="37945640">
    <w:abstractNumId w:val="2"/>
  </w:num>
  <w:num w:numId="6" w16cid:durableId="225841207">
    <w:abstractNumId w:val="1"/>
  </w:num>
  <w:num w:numId="7" w16cid:durableId="90318568">
    <w:abstractNumId w:val="14"/>
  </w:num>
  <w:num w:numId="8" w16cid:durableId="772632643">
    <w:abstractNumId w:val="15"/>
  </w:num>
  <w:num w:numId="9" w16cid:durableId="999888672">
    <w:abstractNumId w:val="10"/>
  </w:num>
  <w:num w:numId="10" w16cid:durableId="929045826">
    <w:abstractNumId w:val="13"/>
  </w:num>
  <w:num w:numId="11" w16cid:durableId="1326393604">
    <w:abstractNumId w:val="6"/>
  </w:num>
  <w:num w:numId="12" w16cid:durableId="2125532696">
    <w:abstractNumId w:val="5"/>
  </w:num>
  <w:num w:numId="13" w16cid:durableId="151139961">
    <w:abstractNumId w:val="9"/>
  </w:num>
  <w:num w:numId="14" w16cid:durableId="698893465">
    <w:abstractNumId w:val="19"/>
  </w:num>
  <w:num w:numId="15" w16cid:durableId="1572227830">
    <w:abstractNumId w:val="16"/>
  </w:num>
  <w:num w:numId="16" w16cid:durableId="2512388">
    <w:abstractNumId w:val="12"/>
  </w:num>
  <w:num w:numId="17" w16cid:durableId="170221158">
    <w:abstractNumId w:val="8"/>
  </w:num>
  <w:num w:numId="18" w16cid:durableId="1582255963">
    <w:abstractNumId w:val="7"/>
  </w:num>
  <w:num w:numId="19" w16cid:durableId="509099658">
    <w:abstractNumId w:val="3"/>
  </w:num>
  <w:num w:numId="20" w16cid:durableId="58507068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F9"/>
    <w:rsid w:val="00034676"/>
    <w:rsid w:val="000908C6"/>
    <w:rsid w:val="00112EE9"/>
    <w:rsid w:val="001234BA"/>
    <w:rsid w:val="001C36B7"/>
    <w:rsid w:val="001D3988"/>
    <w:rsid w:val="00216FAD"/>
    <w:rsid w:val="002256DD"/>
    <w:rsid w:val="00252F26"/>
    <w:rsid w:val="002542C4"/>
    <w:rsid w:val="0025669B"/>
    <w:rsid w:val="00262BEF"/>
    <w:rsid w:val="00291636"/>
    <w:rsid w:val="002A42BB"/>
    <w:rsid w:val="0030182C"/>
    <w:rsid w:val="00320663"/>
    <w:rsid w:val="003258E8"/>
    <w:rsid w:val="0037166A"/>
    <w:rsid w:val="00384B10"/>
    <w:rsid w:val="00421075"/>
    <w:rsid w:val="00492AF9"/>
    <w:rsid w:val="00504682"/>
    <w:rsid w:val="005331D4"/>
    <w:rsid w:val="00535586"/>
    <w:rsid w:val="00580193"/>
    <w:rsid w:val="005A5E47"/>
    <w:rsid w:val="005C3FC6"/>
    <w:rsid w:val="00622753"/>
    <w:rsid w:val="006546D4"/>
    <w:rsid w:val="00657AB5"/>
    <w:rsid w:val="006740F9"/>
    <w:rsid w:val="00686E29"/>
    <w:rsid w:val="006F209C"/>
    <w:rsid w:val="00730F1E"/>
    <w:rsid w:val="007D3F62"/>
    <w:rsid w:val="00801EC0"/>
    <w:rsid w:val="008D3B89"/>
    <w:rsid w:val="0090373B"/>
    <w:rsid w:val="0096720C"/>
    <w:rsid w:val="00981358"/>
    <w:rsid w:val="00A12819"/>
    <w:rsid w:val="00A16007"/>
    <w:rsid w:val="00A31104"/>
    <w:rsid w:val="00A80E05"/>
    <w:rsid w:val="00AC1B89"/>
    <w:rsid w:val="00AE1119"/>
    <w:rsid w:val="00B62244"/>
    <w:rsid w:val="00B77F37"/>
    <w:rsid w:val="00B86A4C"/>
    <w:rsid w:val="00B93C44"/>
    <w:rsid w:val="00BC45F7"/>
    <w:rsid w:val="00C05C5A"/>
    <w:rsid w:val="00C20E4F"/>
    <w:rsid w:val="00C328D6"/>
    <w:rsid w:val="00C37A66"/>
    <w:rsid w:val="00C50AA7"/>
    <w:rsid w:val="00C94C7E"/>
    <w:rsid w:val="00CA3A68"/>
    <w:rsid w:val="00CA5E37"/>
    <w:rsid w:val="00CC30EE"/>
    <w:rsid w:val="00CD40D2"/>
    <w:rsid w:val="00D156F4"/>
    <w:rsid w:val="00D26C47"/>
    <w:rsid w:val="00DF13F5"/>
    <w:rsid w:val="00DF38C9"/>
    <w:rsid w:val="00E545F8"/>
    <w:rsid w:val="00EE0F01"/>
    <w:rsid w:val="00F216F6"/>
    <w:rsid w:val="00F478B6"/>
    <w:rsid w:val="00F70374"/>
    <w:rsid w:val="00FD74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A68526"/>
  <w15:docId w15:val="{DF623170-4283-4FAE-8C3D-9966E4ED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46D4"/>
    <w:pPr>
      <w:keepNext/>
      <w:keepLines/>
      <w:spacing w:before="240" w:after="0"/>
      <w:outlineLvl w:val="0"/>
    </w:pPr>
    <w:rPr>
      <w:rFonts w:asciiTheme="majorHAnsi" w:eastAsiaTheme="majorEastAsia" w:hAnsiTheme="majorHAnsi"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EE0F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0F9"/>
  </w:style>
  <w:style w:type="paragraph" w:styleId="Footer">
    <w:name w:val="footer"/>
    <w:basedOn w:val="Normal"/>
    <w:link w:val="FooterChar"/>
    <w:uiPriority w:val="99"/>
    <w:unhideWhenUsed/>
    <w:rsid w:val="00674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0F9"/>
  </w:style>
  <w:style w:type="paragraph" w:styleId="ListParagraph">
    <w:name w:val="List Paragraph"/>
    <w:basedOn w:val="Normal"/>
    <w:uiPriority w:val="34"/>
    <w:qFormat/>
    <w:rsid w:val="006740F9"/>
    <w:pPr>
      <w:ind w:left="720"/>
      <w:contextualSpacing/>
    </w:pPr>
  </w:style>
  <w:style w:type="table" w:styleId="TableGrid">
    <w:name w:val="Table Grid"/>
    <w:basedOn w:val="TableNormal"/>
    <w:rsid w:val="00674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40F9"/>
    <w:rPr>
      <w:color w:val="0563C1" w:themeColor="hyperlink"/>
      <w:u w:val="single"/>
    </w:rPr>
  </w:style>
  <w:style w:type="character" w:customStyle="1" w:styleId="UnresolvedMention1">
    <w:name w:val="Unresolved Mention1"/>
    <w:basedOn w:val="DefaultParagraphFont"/>
    <w:uiPriority w:val="99"/>
    <w:semiHidden/>
    <w:unhideWhenUsed/>
    <w:rsid w:val="006740F9"/>
    <w:rPr>
      <w:color w:val="605E5C"/>
      <w:shd w:val="clear" w:color="auto" w:fill="E1DFDD"/>
    </w:rPr>
  </w:style>
  <w:style w:type="character" w:customStyle="1" w:styleId="Heading2Char">
    <w:name w:val="Heading 2 Char"/>
    <w:basedOn w:val="DefaultParagraphFont"/>
    <w:link w:val="Heading2"/>
    <w:uiPriority w:val="9"/>
    <w:rsid w:val="00EE0F0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546D4"/>
    <w:rPr>
      <w:rFonts w:asciiTheme="majorHAnsi" w:eastAsiaTheme="majorEastAsia" w:hAnsiTheme="majorHAnsi" w:cstheme="majorBidi"/>
      <w:color w:val="538135" w:themeColor="accent6" w:themeShade="BF"/>
      <w:sz w:val="32"/>
      <w:szCs w:val="32"/>
    </w:rPr>
  </w:style>
  <w:style w:type="paragraph" w:styleId="Title">
    <w:name w:val="Title"/>
    <w:basedOn w:val="Normal"/>
    <w:next w:val="Normal"/>
    <w:link w:val="TitleChar"/>
    <w:uiPriority w:val="10"/>
    <w:qFormat/>
    <w:rsid w:val="006F20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209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20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E4F"/>
    <w:rPr>
      <w:rFonts w:ascii="Tahoma" w:hAnsi="Tahoma" w:cs="Tahoma"/>
      <w:sz w:val="16"/>
      <w:szCs w:val="16"/>
    </w:rPr>
  </w:style>
  <w:style w:type="character" w:styleId="CommentReference">
    <w:name w:val="annotation reference"/>
    <w:basedOn w:val="DefaultParagraphFont"/>
    <w:uiPriority w:val="99"/>
    <w:semiHidden/>
    <w:unhideWhenUsed/>
    <w:rsid w:val="00252F26"/>
    <w:rPr>
      <w:sz w:val="16"/>
      <w:szCs w:val="16"/>
    </w:rPr>
  </w:style>
  <w:style w:type="paragraph" w:styleId="CommentText">
    <w:name w:val="annotation text"/>
    <w:basedOn w:val="Normal"/>
    <w:link w:val="CommentTextChar"/>
    <w:uiPriority w:val="99"/>
    <w:semiHidden/>
    <w:unhideWhenUsed/>
    <w:rsid w:val="00252F26"/>
    <w:pPr>
      <w:spacing w:line="240" w:lineRule="auto"/>
    </w:pPr>
    <w:rPr>
      <w:sz w:val="20"/>
      <w:szCs w:val="20"/>
    </w:rPr>
  </w:style>
  <w:style w:type="character" w:customStyle="1" w:styleId="CommentTextChar">
    <w:name w:val="Comment Text Char"/>
    <w:basedOn w:val="DefaultParagraphFont"/>
    <w:link w:val="CommentText"/>
    <w:uiPriority w:val="99"/>
    <w:semiHidden/>
    <w:rsid w:val="00252F26"/>
    <w:rPr>
      <w:sz w:val="20"/>
      <w:szCs w:val="20"/>
    </w:rPr>
  </w:style>
  <w:style w:type="paragraph" w:styleId="CommentSubject">
    <w:name w:val="annotation subject"/>
    <w:basedOn w:val="CommentText"/>
    <w:next w:val="CommentText"/>
    <w:link w:val="CommentSubjectChar"/>
    <w:uiPriority w:val="99"/>
    <w:semiHidden/>
    <w:unhideWhenUsed/>
    <w:rsid w:val="00A31104"/>
    <w:rPr>
      <w:b/>
      <w:bCs/>
    </w:rPr>
  </w:style>
  <w:style w:type="character" w:customStyle="1" w:styleId="CommentSubjectChar">
    <w:name w:val="Comment Subject Char"/>
    <w:basedOn w:val="CommentTextChar"/>
    <w:link w:val="CommentSubject"/>
    <w:uiPriority w:val="99"/>
    <w:semiHidden/>
    <w:rsid w:val="00A31104"/>
    <w:rPr>
      <w:b/>
      <w:bCs/>
      <w:sz w:val="20"/>
      <w:szCs w:val="20"/>
    </w:rPr>
  </w:style>
  <w:style w:type="paragraph" w:customStyle="1" w:styleId="CM22">
    <w:name w:val="CM22"/>
    <w:basedOn w:val="Normal"/>
    <w:next w:val="Normal"/>
    <w:uiPriority w:val="99"/>
    <w:rsid w:val="003258E8"/>
    <w:pPr>
      <w:widowControl w:val="0"/>
      <w:autoSpaceDE w:val="0"/>
      <w:autoSpaceDN w:val="0"/>
      <w:adjustRightInd w:val="0"/>
      <w:spacing w:after="0" w:line="240" w:lineRule="auto"/>
    </w:pPr>
    <w:rPr>
      <w:rFonts w:ascii="Helvetica" w:eastAsia="Times New Roman" w:hAnsi="Helvetica" w:cs="Helvetica"/>
      <w:sz w:val="24"/>
      <w:szCs w:val="24"/>
      <w:lang w:val="en-US"/>
    </w:rPr>
  </w:style>
  <w:style w:type="paragraph" w:customStyle="1" w:styleId="Default">
    <w:name w:val="Default"/>
    <w:rsid w:val="003258E8"/>
    <w:pPr>
      <w:widowControl w:val="0"/>
      <w:autoSpaceDE w:val="0"/>
      <w:autoSpaceDN w:val="0"/>
      <w:adjustRightInd w:val="0"/>
      <w:spacing w:after="0" w:line="240" w:lineRule="auto"/>
    </w:pPr>
    <w:rPr>
      <w:rFonts w:ascii="Helvetica" w:eastAsia="Times New Roman" w:hAnsi="Helvetica" w:cs="Helvetica"/>
      <w:color w:val="000000"/>
      <w:sz w:val="24"/>
      <w:szCs w:val="24"/>
      <w:lang w:val="en-US"/>
    </w:rPr>
  </w:style>
  <w:style w:type="table" w:styleId="LightShading">
    <w:name w:val="Light Shading"/>
    <w:basedOn w:val="TableNormal"/>
    <w:uiPriority w:val="60"/>
    <w:rsid w:val="0030182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UnresolvedMention">
    <w:name w:val="Unresolved Mention"/>
    <w:basedOn w:val="DefaultParagraphFont"/>
    <w:uiPriority w:val="99"/>
    <w:semiHidden/>
    <w:unhideWhenUsed/>
    <w:rsid w:val="00256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495854">
      <w:bodyDiv w:val="1"/>
      <w:marLeft w:val="0"/>
      <w:marRight w:val="0"/>
      <w:marTop w:val="0"/>
      <w:marBottom w:val="0"/>
      <w:divBdr>
        <w:top w:val="none" w:sz="0" w:space="0" w:color="auto"/>
        <w:left w:val="none" w:sz="0" w:space="0" w:color="auto"/>
        <w:bottom w:val="none" w:sz="0" w:space="0" w:color="auto"/>
        <w:right w:val="none" w:sz="0" w:space="0" w:color="auto"/>
      </w:divBdr>
    </w:div>
    <w:div w:id="202797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alberta.ca/dataset/3131ce15-0219-40de-9337-908ee4aa4665/resource/5722a7cd-eb3c-4685-9f60-36ffba162084/download/2014-social-care-facilities-review-committee-scfrc-measures-bank-august-2014.pdf" TargetMode="External"/><Relationship Id="rId3" Type="http://schemas.openxmlformats.org/officeDocument/2006/relationships/settings" Target="settings.xml"/><Relationship Id="rId7" Type="http://schemas.openxmlformats.org/officeDocument/2006/relationships/hyperlink" Target="https://open.alberta.ca/dataset/18ffaf4e-db3b-476c-8901-9a9d825c366b/resource/2589adce-09c5-4830-9ba2-406c5ae4f4c7/download/2010-family-and-community-support-services-fcss-program-handbook.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Bassano CAO</dc:creator>
  <cp:lastModifiedBy>Amanda Barron</cp:lastModifiedBy>
  <cp:revision>2</cp:revision>
  <dcterms:created xsi:type="dcterms:W3CDTF">2022-10-14T16:03:00Z</dcterms:created>
  <dcterms:modified xsi:type="dcterms:W3CDTF">2022-10-14T16:03:00Z</dcterms:modified>
</cp:coreProperties>
</file>